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06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098"/>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INTERIOR ARCHITECTURE</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BASICS OF FURNITURE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Bogus</w:t>
            </w:r>
            <w:r>
              <w:rPr>
                <w:shd w:val="nil" w:color="auto" w:fill="auto"/>
                <w:rtl w:val="0"/>
                <w:lang w:val="en-US"/>
              </w:rPr>
              <w:t>ł</w:t>
            </w:r>
            <w:r>
              <w:rPr>
                <w:shd w:val="nil" w:color="auto" w:fill="auto"/>
                <w:rtl w:val="0"/>
                <w:lang w:val="en-US"/>
              </w:rPr>
              <w:t>aw Niewiadomski</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boguslaw.niewiadomski@tu.koszalin.pl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4</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1211&gt;0100-PPM-lab</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30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laboratory</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 xml:space="preserve">• </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 xml:space="preserve">• </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230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spacing w:after="0" w:line="240" w:lineRule="auto"/>
            </w:pPr>
            <w:r>
              <w:rPr>
                <w:outline w:val="0"/>
                <w:color w:val="1f1f1f"/>
                <w:u w:color="1f1f1f"/>
                <w:shd w:val="nil" w:color="auto" w:fill="auto"/>
                <w:rtl w:val="0"/>
                <w:lang w:val="en-US"/>
                <w14:textFill>
                  <w14:solidFill>
                    <w14:srgbClr w14:val="1F1F1F"/>
                  </w14:solidFill>
                </w14:textFill>
              </w:rPr>
              <w:t>The student passes semester 02 based on the development of cut-out elements of a chair in a scale of 1:2. The final model of the chair should be distinguished by its stable structure, proportions and ergonomic layout. Full credit for the course includes the completed model in a scale of 1:2, technical drawings in projections with basic dimensions and photographs of the model.</w:t>
            </w:r>
            <w:r>
              <w:rPr>
                <w:outline w:val="0"/>
                <w:color w:val="1f1f1f"/>
                <w:u w:color="1f1f1f"/>
                <w:shd w:val="nil" w:color="auto" w:fill="auto"/>
                <w14:textFill>
                  <w14:solidFill>
                    <w14:srgbClr w14:val="1F1F1F"/>
                  </w14:solidFill>
                </w14:textFill>
              </w:rPr>
            </w:r>
          </w:p>
        </w:tc>
      </w:tr>
      <w:tr>
        <w:tblPrEx>
          <w:shd w:val="clear" w:color="auto" w:fill="ced7e7"/>
        </w:tblPrEx>
        <w:trPr>
          <w:trHeight w:val="95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spacing w:after="0" w:line="240" w:lineRule="auto"/>
              <w:rPr>
                <w:outline w:val="0"/>
                <w:color w:val="1f1f1f"/>
                <w:u w:color="1f1f1f"/>
                <w:shd w:val="nil" w:color="auto" w:fill="auto"/>
                <w14:textFill>
                  <w14:solidFill>
                    <w14:srgbClr w14:val="1F1F1F"/>
                  </w14:solidFill>
                </w14:textFill>
              </w:rPr>
            </w:pPr>
            <w:r>
              <w:rPr>
                <w:outline w:val="0"/>
                <w:color w:val="1f1f1f"/>
                <w:u w:color="1f1f1f"/>
                <w:shd w:val="nil" w:color="auto" w:fill="auto"/>
                <w:rtl w:val="0"/>
                <w:lang w:val="en-US"/>
                <w14:textFill>
                  <w14:solidFill>
                    <w14:srgbClr w14:val="1F1F1F"/>
                  </w14:solidFill>
                </w14:textFill>
              </w:rPr>
              <w:t>Laboratory activities from the basics of design throughout the course are analyzed in terms of activities related to matching modeling methods with specific machining tools in the digital technology of the CNC device. The laboratory examines selected technical and technological analyses and digitally saves DXF DWG files. The student recognizes the structural relationships of the form of a selected furniture model depending on the operational methods performed in the selected material.</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spacing w:after="0" w:line="240" w:lineRule="auto"/>
              <w:rPr>
                <w:outline w:val="0"/>
                <w:color w:val="1f1f1f"/>
                <w:u w:color="1f1f1f"/>
                <w:shd w:val="nil" w:color="auto" w:fill="auto"/>
                <w:lang w:val="en-US"/>
                <w14:textFill>
                  <w14:solidFill>
                    <w14:srgbClr w14:val="1F1F1F"/>
                  </w14:solidFill>
                </w14:textFill>
              </w:rPr>
            </w:pP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240" w:lineRule="auto"/>
              <w:ind w:left="0" w:right="0" w:firstLine="0"/>
              <w:jc w:val="left"/>
              <w:rPr>
                <w:outline w:val="0"/>
                <w:color w:val="1f1f1f"/>
                <w:u w:color="1f1f1f"/>
                <w:shd w:val="nil" w:color="auto" w:fill="auto"/>
                <w:rtl w:val="0"/>
                <w14:textFill>
                  <w14:solidFill>
                    <w14:srgbClr w14:val="1F1F1F"/>
                  </w14:solidFill>
                </w14:textFill>
              </w:rPr>
            </w:pPr>
            <w:r>
              <w:rPr>
                <w:outline w:val="0"/>
                <w:color w:val="1f1f1f"/>
                <w:u w:color="1f1f1f"/>
                <w:shd w:val="nil" w:color="auto" w:fill="auto"/>
                <w:rtl w:val="0"/>
                <w:lang w:val="en-US"/>
                <w14:textFill>
                  <w14:solidFill>
                    <w14:srgbClr w14:val="1F1F1F"/>
                  </w14:solidFill>
                </w14:textFill>
              </w:rPr>
              <w:t>Topics throughout the course concern persuasive operational processes in wood. Basic knowledge of developing technical drawings generated with DWG or DXF files is used for these tasks</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240" w:lineRule="auto"/>
              <w:ind w:left="0" w:right="0" w:firstLine="0"/>
              <w:jc w:val="left"/>
              <w:rPr>
                <w:outline w:val="0"/>
                <w:color w:val="1f1f1f"/>
                <w:u w:color="1f1f1f"/>
                <w:shd w:val="nil" w:color="auto" w:fill="auto"/>
                <w:rtl w:val="0"/>
                <w14:textFill>
                  <w14:solidFill>
                    <w14:srgbClr w14:val="1F1F1F"/>
                  </w14:solidFill>
                </w14:textFill>
              </w:rPr>
            </w:pPr>
            <w:r>
              <w:rPr>
                <w:outline w:val="0"/>
                <w:color w:val="1f1f1f"/>
                <w:u w:color="1f1f1f"/>
                <w:shd w:val="nil" w:color="auto" w:fill="auto"/>
                <w:rtl w:val="0"/>
                <w:lang w:val="en-US"/>
                <w14:textFill>
                  <w14:solidFill>
                    <w14:srgbClr w14:val="1F1F1F"/>
                  </w14:solidFill>
                </w14:textFill>
              </w:rPr>
              <w:t>1. Technical drawing of the model in the process of scaling from a scale of 1:10 to a scale of 1:2</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240" w:lineRule="auto"/>
              <w:ind w:left="0" w:right="0" w:firstLine="0"/>
              <w:jc w:val="left"/>
              <w:rPr>
                <w:outline w:val="0"/>
                <w:color w:val="1f1f1f"/>
                <w:u w:color="1f1f1f"/>
                <w:shd w:val="nil" w:color="auto" w:fill="auto"/>
                <w:rtl w:val="0"/>
                <w14:textFill>
                  <w14:solidFill>
                    <w14:srgbClr w14:val="1F1F1F"/>
                  </w14:solidFill>
                </w14:textFill>
              </w:rPr>
            </w:pPr>
            <w:r>
              <w:rPr>
                <w:outline w:val="0"/>
                <w:color w:val="1f1f1f"/>
                <w:u w:color="1f1f1f"/>
                <w:shd w:val="nil" w:color="auto" w:fill="auto"/>
                <w:rtl w:val="0"/>
                <w:lang w:val="en-US"/>
                <w14:textFill>
                  <w14:solidFill>
                    <w14:srgbClr w14:val="1F1F1F"/>
                  </w14:solidFill>
                </w14:textFill>
              </w:rPr>
              <w:t>2. Selecting elements in the drawing for potential cut-outs for CNC processing.</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240" w:lineRule="auto"/>
              <w:ind w:left="0" w:right="0" w:firstLine="0"/>
              <w:jc w:val="left"/>
              <w:rPr>
                <w:outline w:val="0"/>
                <w:color w:val="1f1f1f"/>
                <w:u w:color="1f1f1f"/>
                <w:shd w:val="nil" w:color="auto" w:fill="auto"/>
                <w:rtl w:val="0"/>
                <w14:textFill>
                  <w14:solidFill>
                    <w14:srgbClr w14:val="1F1F1F"/>
                  </w14:solidFill>
                </w14:textFill>
              </w:rPr>
            </w:pPr>
            <w:r>
              <w:rPr>
                <w:outline w:val="0"/>
                <w:color w:val="1f1f1f"/>
                <w:u w:color="1f1f1f"/>
                <w:shd w:val="nil" w:color="auto" w:fill="auto"/>
                <w:rtl w:val="0"/>
                <w:lang w:val="en-US"/>
                <w14:textFill>
                  <w14:solidFill>
                    <w14:srgbClr w14:val="1F1F1F"/>
                  </w14:solidFill>
                </w14:textFill>
              </w:rPr>
              <w:t>3. Closing the envelope lines of the cutting dies and matching the thickness of the plywood to the cutting mill.</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240" w:lineRule="auto"/>
              <w:ind w:left="0" w:right="0" w:firstLine="0"/>
              <w:jc w:val="left"/>
              <w:rPr>
                <w:outline w:val="0"/>
                <w:color w:val="1f1f1f"/>
                <w:u w:color="1f1f1f"/>
                <w:shd w:val="nil" w:color="auto" w:fill="auto"/>
                <w:rtl w:val="0"/>
                <w14:textFill>
                  <w14:solidFill>
                    <w14:srgbClr w14:val="1F1F1F"/>
                  </w14:solidFill>
                </w14:textFill>
              </w:rPr>
            </w:pPr>
            <w:r>
              <w:rPr>
                <w:outline w:val="0"/>
                <w:color w:val="1f1f1f"/>
                <w:u w:color="1f1f1f"/>
                <w:shd w:val="nil" w:color="auto" w:fill="auto"/>
                <w:rtl w:val="0"/>
                <w:lang w:val="en-US"/>
                <w14:textFill>
                  <w14:solidFill>
                    <w14:srgbClr w14:val="1F1F1F"/>
                  </w14:solidFill>
                </w14:textFill>
              </w:rPr>
              <w:t>4. Initial process of cutting out model elements under the substantive supervision of the laboratory technician.</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240" w:lineRule="auto"/>
              <w:ind w:left="0" w:right="0" w:firstLine="0"/>
              <w:jc w:val="left"/>
              <w:rPr>
                <w:outline w:val="0"/>
                <w:color w:val="1f1f1f"/>
                <w:u w:color="1f1f1f"/>
                <w:shd w:val="nil" w:color="auto" w:fill="auto"/>
                <w:rtl w:val="0"/>
                <w14:textFill>
                  <w14:solidFill>
                    <w14:srgbClr w14:val="1F1F1F"/>
                  </w14:solidFill>
                </w14:textFill>
              </w:rPr>
            </w:pPr>
            <w:r>
              <w:rPr>
                <w:outline w:val="0"/>
                <w:color w:val="1f1f1f"/>
                <w:u w:color="1f1f1f"/>
                <w:shd w:val="nil" w:color="auto" w:fill="auto"/>
                <w:rtl w:val="0"/>
                <w:lang w:val="en-US"/>
                <w14:textFill>
                  <w14:solidFill>
                    <w14:srgbClr w14:val="1F1F1F"/>
                  </w14:solidFill>
                </w14:textFill>
              </w:rPr>
              <w:t>5. Evaluation of cut elements and sanding</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spacing w:after="0" w:line="240" w:lineRule="auto"/>
              <w:rPr>
                <w:outline w:val="0"/>
                <w:color w:val="1f1f1f"/>
                <w:u w:color="1f1f1f"/>
                <w:shd w:val="nil" w:color="auto" w:fill="auto"/>
                <w:lang w:val="en-US"/>
                <w14:textFill>
                  <w14:solidFill>
                    <w14:srgbClr w14:val="1F1F1F"/>
                  </w14:solidFill>
                </w14:textFill>
              </w:rPr>
            </w:pP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240" w:lineRule="auto"/>
              <w:ind w:left="0" w:right="0" w:firstLine="0"/>
              <w:jc w:val="left"/>
              <w:rPr>
                <w:outline w:val="0"/>
                <w:color w:val="1f1f1f"/>
                <w:u w:color="1f1f1f"/>
                <w:shd w:val="nil" w:color="auto" w:fill="auto"/>
                <w:rtl w:val="0"/>
                <w14:textFill>
                  <w14:solidFill>
                    <w14:srgbClr w14:val="1F1F1F"/>
                  </w14:solidFill>
                </w14:textFill>
              </w:rPr>
            </w:pPr>
            <w:r>
              <w:rPr>
                <w:outline w:val="0"/>
                <w:color w:val="1f1f1f"/>
                <w:u w:color="1f1f1f"/>
                <w:shd w:val="nil" w:color="auto" w:fill="auto"/>
                <w:rtl w:val="0"/>
                <w:lang w:val="en-US"/>
                <w14:textFill>
                  <w14:solidFill>
                    <w14:srgbClr w14:val="1F1F1F"/>
                  </w14:solidFill>
                </w14:textFill>
              </w:rPr>
              <w:t>6. Gluing elements and evaluating the structural stability of the model.</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spacing w:after="0" w:line="240" w:lineRule="auto"/>
              <w:rPr>
                <w:outline w:val="0"/>
                <w:color w:val="1f1f1f"/>
                <w:u w:color="1f1f1f"/>
                <w:shd w:val="nil" w:color="auto" w:fill="auto"/>
                <w:lang w:val="en-US"/>
                <w14:textFill>
                  <w14:solidFill>
                    <w14:srgbClr w14:val="1F1F1F"/>
                  </w14:solidFill>
                </w14:textFill>
              </w:rPr>
            </w:pP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240" w:lineRule="auto"/>
              <w:ind w:left="0" w:right="0" w:firstLine="0"/>
              <w:jc w:val="left"/>
              <w:rPr>
                <w:outline w:val="0"/>
                <w:color w:val="1f1f1f"/>
                <w:u w:color="1f1f1f"/>
                <w:shd w:val="nil" w:color="auto" w:fill="auto"/>
                <w:rtl w:val="0"/>
                <w14:textFill>
                  <w14:solidFill>
                    <w14:srgbClr w14:val="1F1F1F"/>
                  </w14:solidFill>
                </w14:textFill>
              </w:rPr>
            </w:pPr>
            <w:r>
              <w:rPr>
                <w:outline w:val="0"/>
                <w:color w:val="1f1f1f"/>
                <w:u w:color="1f1f1f"/>
                <w:shd w:val="nil" w:color="auto" w:fill="auto"/>
                <w:rtl w:val="0"/>
                <w:lang w:val="en-US"/>
                <w14:textFill>
                  <w14:solidFill>
                    <w14:srgbClr w14:val="1F1F1F"/>
                  </w14:solidFill>
                </w14:textFill>
              </w:rPr>
              <w:t>7. Final photographs</w:t>
            </w:r>
          </w:p>
          <w:p>
            <w:pPr>
              <w:pStyle w:val="Normal.0"/>
              <w:shd w:val="clear" w:color="auto" w:fill="f8f9fa"/>
              <w:tabs>
                <w:tab w:val="left" w:pos="916"/>
                <w:tab w:val="left" w:pos="1832"/>
                <w:tab w:val="left" w:pos="2748"/>
                <w:tab w:val="left" w:pos="3664"/>
                <w:tab w:val="left" w:pos="4580"/>
                <w:tab w:val="left" w:pos="5496"/>
                <w:tab w:val="left" w:pos="6412"/>
                <w:tab w:val="left" w:pos="7328"/>
                <w:tab w:val="left" w:pos="8244"/>
                <w:tab w:val="left" w:pos="8566"/>
                <w:tab w:val="left" w:pos="8566"/>
                <w:tab w:val="left" w:pos="8566"/>
                <w:tab w:val="left" w:pos="8566"/>
                <w:tab w:val="left" w:pos="8566"/>
                <w:tab w:val="left" w:pos="8566"/>
                <w:tab w:val="left" w:pos="8566"/>
              </w:tabs>
              <w:bidi w:val="0"/>
              <w:spacing w:after="0" w:line="240" w:lineRule="auto"/>
              <w:ind w:left="0" w:right="0" w:firstLine="0"/>
              <w:jc w:val="left"/>
              <w:rPr>
                <w:outline w:val="0"/>
                <w:color w:val="1f1f1f"/>
                <w:u w:color="1f1f1f"/>
                <w:shd w:val="nil" w:color="auto" w:fill="auto"/>
                <w:rtl w:val="0"/>
                <w14:textFill>
                  <w14:solidFill>
                    <w14:srgbClr w14:val="1F1F1F"/>
                  </w14:solidFill>
                </w14:textFill>
              </w:rPr>
            </w:pPr>
            <w:r>
              <w:rPr>
                <w:outline w:val="0"/>
                <w:color w:val="1f1f1f"/>
                <w:u w:color="1f1f1f"/>
                <w:shd w:val="nil" w:color="auto" w:fill="auto"/>
                <w:rtl w:val="0"/>
                <w:lang w:val="en-US"/>
                <w14:textFill>
                  <w14:solidFill>
                    <w14:srgbClr w14:val="1F1F1F"/>
                  </w14:solidFill>
                </w14:textFill>
              </w:rPr>
              <w:t>8. Final verification of technical drawings and scaling of the study for the prototype size of the future furniture in a 1:1 scale</w:t>
            </w:r>
          </w:p>
          <w:p>
            <w:pPr>
              <w:pStyle w:val="Normal.0"/>
              <w:spacing w:after="0" w:line="240" w:lineRule="auto"/>
              <w:rPr>
                <w:shd w:val="nil" w:color="auto" w:fill="auto"/>
                <w:lang w:val="en-US"/>
              </w:rPr>
            </w:pPr>
          </w:p>
          <w:p>
            <w:pPr>
              <w:pStyle w:val="Normal.0"/>
              <w:spacing w:after="0" w:line="240" w:lineRule="auto"/>
            </w:pPr>
            <w:r>
              <w:rPr>
                <w:shd w:val="nil" w:color="auto" w:fill="auto"/>
                <w:lang w:val="en-US"/>
              </w:rPr>
            </w:r>
          </w:p>
        </w:tc>
      </w:tr>
      <w:tr>
        <w:tblPrEx>
          <w:shd w:val="clear" w:color="auto" w:fill="ced7e7"/>
        </w:tblPrEx>
        <w:trPr>
          <w:trHeight w:val="74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1</w:t>
            </w:r>
            <w:r>
              <w:rPr>
                <w:shd w:val="nil" w:color="auto" w:fill="auto"/>
                <w:vertAlign w:val="superscript"/>
                <w:rtl w:val="0"/>
                <w:lang w:val="en-US"/>
              </w:rPr>
              <w:t>st</w:t>
            </w:r>
            <w:r>
              <w:rPr>
                <w:shd w:val="nil" w:color="auto" w:fill="auto"/>
                <w:rtl w:val="0"/>
                <w:lang w:val="en-US"/>
              </w:rPr>
              <w:t xml:space="preserve"> grade course (2</w:t>
            </w:r>
            <w:r>
              <w:rPr>
                <w:shd w:val="nil" w:color="auto" w:fill="auto"/>
                <w:vertAlign w:val="superscript"/>
                <w:rtl w:val="0"/>
                <w:lang w:val="en-US"/>
              </w:rPr>
              <w:t>nd</w:t>
            </w:r>
            <w:r>
              <w:rPr>
                <w:shd w:val="nil" w:color="auto" w:fill="auto"/>
                <w:rtl w:val="0"/>
                <w:lang w:val="en-US"/>
              </w:rPr>
              <w:t xml:space="preserve"> semester)</w:t>
            </w:r>
          </w:p>
          <w:p>
            <w:pPr>
              <w:pStyle w:val="Normal.0"/>
              <w:spacing w:after="0" w:line="240" w:lineRule="auto"/>
            </w:pPr>
            <w:r>
              <w:rPr>
                <w:shd w:val="nil" w:color="auto" w:fill="auto"/>
                <w:lang w:val="en-US"/>
              </w:rPr>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pPr>
        <w:pStyle w:val="Normal.0"/>
        <w:rPr>
          <w:lang w:val="en-US"/>
        </w:rPr>
      </w:pPr>
    </w:p>
    <w:p>
      <w:pPr>
        <w:pStyle w:val="Normal.0"/>
        <w:rPr>
          <w:lang w:val="en-US"/>
        </w:rPr>
      </w:pPr>
    </w:p>
    <w:p>
      <w:pPr>
        <w:pStyle w:val="No Spacing"/>
        <w:jc w:val="right"/>
      </w:pPr>
      <w:r>
        <w:rPr>
          <w:rtl w:val="0"/>
        </w:rPr>
        <w:t>………………………………………………………………</w:t>
      </w:r>
      <w:r>
        <w:rPr>
          <w:rtl w:val="0"/>
        </w:rPr>
        <w:t>..</w:t>
      </w:r>
    </w:p>
    <w:p>
      <w:pPr>
        <w:pStyle w:val="No Spacing"/>
        <w:jc w:val="right"/>
      </w:pPr>
      <w:r>
        <w:rPr>
          <w:rtl w:val="0"/>
        </w:rPr>
        <w:t>/sporz</w:t>
      </w:r>
      <w:r>
        <w:rPr>
          <w:rtl w:val="0"/>
        </w:rPr>
        <w:t>ą</w:t>
      </w:r>
      <w:r>
        <w:rPr>
          <w:rtl w:val="0"/>
        </w:rPr>
        <w:t>dzi</w:t>
      </w:r>
      <w:r>
        <w:rPr>
          <w:rtl w:val="0"/>
        </w:rPr>
        <w:t>ł</w:t>
      </w:r>
      <w:r>
        <w:rPr>
          <w:rtl w:val="0"/>
          <w:lang w:val="nl-NL"/>
        </w:rPr>
        <w:t>, data/</w:t>
      </w:r>
    </w:p>
    <w:p>
      <w:pPr>
        <w:pStyle w:val="Normal.0"/>
      </w:pPr>
    </w:p>
    <w:p>
      <w:pPr>
        <w:pStyle w:val="Normal.0"/>
      </w:pPr>
    </w:p>
    <w:p>
      <w:pPr>
        <w:pStyle w:val="Normal.0"/>
      </w:pPr>
    </w:p>
    <w:p>
      <w:pPr>
        <w:pStyle w:val="Normal.0"/>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 w:type="paragraph" w:styleId="No Spacing">
    <w:name w:val="No Spacing"/>
    <w:next w:val="No Spacing"/>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hint="default"/>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